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F9A" w:rsidRDefault="00E27D19">
      <w:pPr>
        <w:spacing w:line="227" w:lineRule="exact"/>
        <w:ind w:left="220"/>
        <w:rPr>
          <w:sz w:val="18"/>
        </w:rPr>
      </w:pPr>
      <w:bookmarkStart w:id="0" w:name="_GoBack"/>
      <w:bookmarkEnd w:id="0"/>
      <w:r>
        <w:rPr>
          <w:sz w:val="20"/>
        </w:rPr>
        <w:t xml:space="preserve">Commonwealth of Virginia </w:t>
      </w:r>
      <w:r>
        <w:rPr>
          <w:sz w:val="18"/>
        </w:rPr>
        <w:t>Va. Code §§ 19.2-168, 19.2-168.1, 19.2-169.1, 19.2-169.5</w:t>
      </w:r>
    </w:p>
    <w:p w:rsidR="005D2F9A" w:rsidRDefault="005D2F9A">
      <w:pPr>
        <w:pStyle w:val="BodyText"/>
        <w:spacing w:before="11"/>
        <w:rPr>
          <w:sz w:val="29"/>
        </w:rPr>
      </w:pPr>
    </w:p>
    <w:p w:rsidR="005D2F9A" w:rsidRDefault="00E27D19">
      <w:pPr>
        <w:ind w:left="234"/>
        <w:rPr>
          <w:sz w:val="16"/>
        </w:rPr>
      </w:pPr>
      <w:r>
        <w:rPr>
          <w:sz w:val="16"/>
        </w:rPr>
        <w:t>................................................................................................................................................................................................................................................................</w:t>
      </w:r>
      <w:r>
        <w:rPr>
          <w:sz w:val="16"/>
        </w:rPr>
        <w:t>........</w:t>
      </w:r>
    </w:p>
    <w:p w:rsidR="005D2F9A" w:rsidRDefault="00E27D19">
      <w:pPr>
        <w:spacing w:before="3"/>
        <w:ind w:left="4633" w:right="4634"/>
        <w:jc w:val="center"/>
        <w:rPr>
          <w:sz w:val="14"/>
        </w:rPr>
      </w:pPr>
      <w:r>
        <w:rPr>
          <w:sz w:val="14"/>
        </w:rPr>
        <w:t>COURT NAME AND ADDRESS</w:t>
      </w:r>
    </w:p>
    <w:p w:rsidR="005D2F9A" w:rsidRDefault="005D2F9A">
      <w:pPr>
        <w:pStyle w:val="BodyText"/>
        <w:spacing w:before="9"/>
        <w:rPr>
          <w:sz w:val="15"/>
        </w:rPr>
      </w:pPr>
    </w:p>
    <w:p w:rsidR="005D2F9A" w:rsidRDefault="00E27D19">
      <w:pPr>
        <w:ind w:left="220"/>
        <w:rPr>
          <w:sz w:val="16"/>
        </w:rPr>
      </w:pPr>
      <w:r>
        <w:rPr>
          <w:sz w:val="20"/>
        </w:rPr>
        <w:t xml:space="preserve">Commonwealth of Virginia v. </w:t>
      </w:r>
      <w:r>
        <w:rPr>
          <w:sz w:val="16"/>
        </w:rPr>
        <w:t>...................................................................................................................................................................................................</w:t>
      </w:r>
      <w:r>
        <w:rPr>
          <w:sz w:val="16"/>
        </w:rPr>
        <w:t>.........</w:t>
      </w:r>
    </w:p>
    <w:p w:rsidR="005D2F9A" w:rsidRDefault="005D2F9A">
      <w:pPr>
        <w:pStyle w:val="BodyText"/>
        <w:spacing w:before="7"/>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18"/>
      </w:tblGrid>
      <w:tr w:rsidR="005D2F9A">
        <w:trPr>
          <w:trHeight w:val="6243"/>
        </w:trPr>
        <w:tc>
          <w:tcPr>
            <w:tcW w:w="11018" w:type="dxa"/>
          </w:tcPr>
          <w:p w:rsidR="005D2F9A" w:rsidRDefault="00E27D19">
            <w:pPr>
              <w:pStyle w:val="TableParagraph"/>
              <w:spacing w:line="248" w:lineRule="exact"/>
              <w:ind w:left="3509"/>
              <w:rPr>
                <w:b/>
              </w:rPr>
            </w:pPr>
            <w:r>
              <w:rPr>
                <w:b/>
              </w:rPr>
              <w:t>TYPE OF EVALUATION AND REPORT</w:t>
            </w:r>
          </w:p>
          <w:p w:rsidR="005D2F9A" w:rsidRDefault="00E27D19">
            <w:pPr>
              <w:pStyle w:val="TableParagraph"/>
              <w:spacing w:line="227" w:lineRule="exact"/>
              <w:ind w:left="107"/>
              <w:rPr>
                <w:sz w:val="20"/>
              </w:rPr>
            </w:pPr>
            <w:r>
              <w:rPr>
                <w:sz w:val="20"/>
              </w:rPr>
              <w:t>[ ] COMPETENCY EVALUATION: It appearing to the Court, on motion of</w:t>
            </w:r>
          </w:p>
          <w:p w:rsidR="005D2F9A" w:rsidRDefault="00E27D19">
            <w:pPr>
              <w:pStyle w:val="TableParagraph"/>
              <w:tabs>
                <w:tab w:val="left" w:pos="3708"/>
                <w:tab w:val="left" w:pos="6589"/>
              </w:tabs>
              <w:rPr>
                <w:sz w:val="20"/>
              </w:rPr>
            </w:pPr>
            <w:r>
              <w:rPr>
                <w:sz w:val="20"/>
              </w:rPr>
              <w:t>[  ]</w:t>
            </w:r>
            <w:r>
              <w:rPr>
                <w:spacing w:val="2"/>
                <w:sz w:val="20"/>
              </w:rPr>
              <w:t xml:space="preserve"> </w:t>
            </w:r>
            <w:r>
              <w:rPr>
                <w:sz w:val="20"/>
              </w:rPr>
              <w:t>Commonwealth’s</w:t>
            </w:r>
            <w:r>
              <w:rPr>
                <w:spacing w:val="-2"/>
                <w:sz w:val="20"/>
              </w:rPr>
              <w:t xml:space="preserve"> </w:t>
            </w:r>
            <w:r>
              <w:rPr>
                <w:sz w:val="20"/>
              </w:rPr>
              <w:t>Attorney</w:t>
            </w:r>
            <w:r>
              <w:rPr>
                <w:sz w:val="20"/>
              </w:rPr>
              <w:tab/>
              <w:t>[  ]</w:t>
            </w:r>
            <w:r>
              <w:rPr>
                <w:spacing w:val="5"/>
                <w:sz w:val="20"/>
              </w:rPr>
              <w:t xml:space="preserve"> </w:t>
            </w:r>
            <w:r>
              <w:rPr>
                <w:sz w:val="20"/>
              </w:rPr>
              <w:t>defendant’s</w:t>
            </w:r>
            <w:r>
              <w:rPr>
                <w:spacing w:val="-3"/>
                <w:sz w:val="20"/>
              </w:rPr>
              <w:t xml:space="preserve"> </w:t>
            </w:r>
            <w:r>
              <w:rPr>
                <w:sz w:val="20"/>
              </w:rPr>
              <w:t>attorney</w:t>
            </w:r>
            <w:r>
              <w:rPr>
                <w:sz w:val="20"/>
              </w:rPr>
              <w:tab/>
              <w:t>[ ] the</w:t>
            </w:r>
            <w:r>
              <w:rPr>
                <w:spacing w:val="10"/>
                <w:sz w:val="20"/>
              </w:rPr>
              <w:t xml:space="preserve"> </w:t>
            </w:r>
            <w:r>
              <w:rPr>
                <w:sz w:val="20"/>
              </w:rPr>
              <w:t>Court</w:t>
            </w:r>
          </w:p>
          <w:p w:rsidR="005D2F9A" w:rsidRDefault="00E27D19">
            <w:pPr>
              <w:pStyle w:val="TableParagraph"/>
              <w:spacing w:before="1"/>
              <w:ind w:right="195"/>
              <w:rPr>
                <w:sz w:val="20"/>
              </w:rPr>
            </w:pPr>
            <w:r>
              <w:rPr>
                <w:sz w:val="20"/>
              </w:rPr>
              <w:t>and upon hearing evidence or representations of counsel, that there is probable</w:t>
            </w:r>
            <w:r>
              <w:rPr>
                <w:sz w:val="20"/>
              </w:rPr>
              <w:t xml:space="preserve"> cause to believe that the defendant lacks substantial capacity to understand the proceedings against him or to assist in his own defense, the Court therefore appoints the evaluator(s) listed below to evaluate the defendant and to submit a report, on or be</w:t>
            </w:r>
            <w:r>
              <w:rPr>
                <w:sz w:val="20"/>
              </w:rPr>
              <w:t>fore the date shown below, to this Court, the Commonwealth’s Attorney and the defendant’s attorney, concerning: (1) the defendant’s capacity to understand the proceedings against him; (2) his ability to assist his attorney; and (3) his need for treatment i</w:t>
            </w:r>
            <w:r>
              <w:rPr>
                <w:sz w:val="20"/>
              </w:rPr>
              <w:t xml:space="preserve">n the event that he is found to be incompetent but restorable, or incompetent for the foreseeable future. If a need for restoration treatment is identified in the event he is found incompetent but restorable, or incompetent for the foreseeable future, the </w:t>
            </w:r>
            <w:r>
              <w:rPr>
                <w:sz w:val="20"/>
              </w:rPr>
              <w:t>report shall state whether inpatient or outpatient treatment is recommended. No statements of the defendant relating to the time period of the alleged offense shall be included in the report.</w:t>
            </w:r>
          </w:p>
          <w:p w:rsidR="005D2F9A" w:rsidRDefault="00E27D19">
            <w:pPr>
              <w:pStyle w:val="TableParagraph"/>
              <w:spacing w:before="119"/>
              <w:ind w:right="134" w:hanging="360"/>
              <w:rPr>
                <w:sz w:val="20"/>
              </w:rPr>
            </w:pPr>
            <w:r>
              <w:rPr>
                <w:sz w:val="20"/>
              </w:rPr>
              <w:t>[ ] SANITY AT THE TIME OF THE OFFENSE: It appearing to the Court</w:t>
            </w:r>
            <w:r>
              <w:rPr>
                <w:sz w:val="20"/>
              </w:rPr>
              <w:t>, upon hearing evidence or representations of counsel for the defendant, that there is probable cause to believe that the defendant’s sanity may be a significant factor in his defense and that the defendant is financially unable to pay for expert assistanc</w:t>
            </w:r>
            <w:r>
              <w:rPr>
                <w:sz w:val="20"/>
              </w:rPr>
              <w:t>e, the Court therefore appoints the evaluator(s) listed below to</w:t>
            </w:r>
          </w:p>
          <w:p w:rsidR="005D2F9A" w:rsidRDefault="00E27D19">
            <w:pPr>
              <w:pStyle w:val="TableParagraph"/>
              <w:spacing w:before="1"/>
              <w:ind w:right="195"/>
              <w:rPr>
                <w:sz w:val="20"/>
              </w:rPr>
            </w:pPr>
            <w:r>
              <w:rPr>
                <w:sz w:val="20"/>
              </w:rPr>
              <w:t>evaluate the defendant’s sanity at the time of the offense and, where appropriate, to assist in the development of an insanity defense. They shall prepare and submit a full report, on or befo</w:t>
            </w:r>
            <w:r>
              <w:rPr>
                <w:sz w:val="20"/>
              </w:rPr>
              <w:t>re the date shown below, solely to the defendant’s attorney, concerning the defendant’s sanity at the time of the offense, including whether he may have had a significant mental disease or defect which rendered him insane at the time of the offense. If fur</w:t>
            </w:r>
            <w:r>
              <w:rPr>
                <w:sz w:val="20"/>
              </w:rPr>
              <w:t>ther evaluation on this issue is necessary, the evaluator(s) shall so state.</w:t>
            </w:r>
          </w:p>
          <w:p w:rsidR="005D2F9A" w:rsidRDefault="00E27D19">
            <w:pPr>
              <w:pStyle w:val="TableParagraph"/>
              <w:spacing w:before="120"/>
              <w:ind w:right="218" w:hanging="360"/>
              <w:rPr>
                <w:sz w:val="20"/>
              </w:rPr>
            </w:pPr>
            <w:r>
              <w:rPr>
                <w:sz w:val="20"/>
              </w:rPr>
              <w:t>[ ] The motion for the evaluation having been made by the Commonwealth after receiving notice pursuant to Virginia Code § 19.2- 168, the Court also orders the defendant to submit to an evaluation and has advised the defendant that a refusal to cooperate wi</w:t>
            </w:r>
            <w:r>
              <w:rPr>
                <w:sz w:val="20"/>
              </w:rPr>
              <w:t>th the Commonwealth’s evaluator(s) could result in the exclusion of defendant’s expert evidence. The Court further orders the evaluator(s) to submit to the attorneys for the Commonwealth and defendant copies of the report and the records obtained during th</w:t>
            </w:r>
            <w:r>
              <w:rPr>
                <w:sz w:val="20"/>
              </w:rPr>
              <w:t>e evaluation.</w:t>
            </w:r>
          </w:p>
        </w:tc>
      </w:tr>
      <w:tr w:rsidR="005D2F9A">
        <w:trPr>
          <w:trHeight w:val="4699"/>
        </w:trPr>
        <w:tc>
          <w:tcPr>
            <w:tcW w:w="11018" w:type="dxa"/>
          </w:tcPr>
          <w:p w:rsidR="005D2F9A" w:rsidRDefault="00E27D19">
            <w:pPr>
              <w:pStyle w:val="TableParagraph"/>
              <w:spacing w:line="248" w:lineRule="exact"/>
              <w:ind w:left="3219" w:right="3212"/>
              <w:jc w:val="center"/>
              <w:rPr>
                <w:b/>
              </w:rPr>
            </w:pPr>
            <w:r>
              <w:rPr>
                <w:b/>
              </w:rPr>
              <w:t>DESIGNATION OF EVALUATOR(S)</w:t>
            </w:r>
          </w:p>
          <w:p w:rsidR="005D2F9A" w:rsidRDefault="00E27D19">
            <w:pPr>
              <w:pStyle w:val="TableParagraph"/>
              <w:spacing w:line="227" w:lineRule="exact"/>
              <w:ind w:left="107"/>
              <w:rPr>
                <w:sz w:val="20"/>
              </w:rPr>
            </w:pPr>
            <w:r>
              <w:rPr>
                <w:sz w:val="20"/>
              </w:rPr>
              <w:t>The Court finds and concludes that:</w:t>
            </w:r>
          </w:p>
          <w:p w:rsidR="005D2F9A" w:rsidRDefault="00E27D19">
            <w:pPr>
              <w:pStyle w:val="TableParagraph"/>
              <w:spacing w:before="60"/>
              <w:ind w:left="107"/>
              <w:rPr>
                <w:sz w:val="20"/>
              </w:rPr>
            </w:pPr>
            <w:r>
              <w:rPr>
                <w:sz w:val="20"/>
              </w:rPr>
              <w:t>[ ] the evaluation shall be performed on an outpatient basis at a mental health facility or in jail.</w:t>
            </w:r>
          </w:p>
          <w:p w:rsidR="005D2F9A" w:rsidRDefault="00E27D19">
            <w:pPr>
              <w:pStyle w:val="TableParagraph"/>
              <w:spacing w:before="121"/>
              <w:rPr>
                <w:sz w:val="20"/>
              </w:rPr>
            </w:pPr>
            <w:r>
              <w:rPr>
                <w:sz w:val="20"/>
              </w:rPr>
              <w:t>The Court therefore appoints the following evaluator(s) to conduct the evalu</w:t>
            </w:r>
            <w:r>
              <w:rPr>
                <w:sz w:val="20"/>
              </w:rPr>
              <w:t>ation:</w:t>
            </w:r>
          </w:p>
          <w:p w:rsidR="005D2F9A" w:rsidRDefault="00E27D19">
            <w:pPr>
              <w:pStyle w:val="TableParagraph"/>
              <w:spacing w:before="120"/>
              <w:rPr>
                <w:sz w:val="16"/>
              </w:rPr>
            </w:pPr>
            <w:r>
              <w:rPr>
                <w:sz w:val="20"/>
              </w:rPr>
              <w:t xml:space="preserve">[ ] </w:t>
            </w:r>
            <w:r>
              <w:rPr>
                <w:sz w:val="16"/>
              </w:rPr>
              <w:t>.....................................................................................................................................................................................................................................................</w:t>
            </w:r>
            <w:r>
              <w:rPr>
                <w:sz w:val="16"/>
              </w:rPr>
              <w:t>.</w:t>
            </w:r>
          </w:p>
          <w:p w:rsidR="005D2F9A" w:rsidRDefault="00E27D19">
            <w:pPr>
              <w:pStyle w:val="TableParagraph"/>
              <w:spacing w:before="4"/>
              <w:ind w:left="3575" w:right="3212"/>
              <w:jc w:val="center"/>
              <w:rPr>
                <w:sz w:val="14"/>
              </w:rPr>
            </w:pPr>
            <w:r>
              <w:rPr>
                <w:sz w:val="14"/>
              </w:rPr>
              <w:t>EVALUATOR(S): NAME(S) AND TITLE(S) OR NAME OF FACILITY</w:t>
            </w:r>
          </w:p>
          <w:p w:rsidR="005D2F9A" w:rsidRDefault="00E27D19">
            <w:pPr>
              <w:pStyle w:val="TableParagraph"/>
              <w:spacing w:before="56"/>
              <w:ind w:hanging="360"/>
              <w:rPr>
                <w:sz w:val="20"/>
              </w:rPr>
            </w:pPr>
            <w:r>
              <w:rPr>
                <w:sz w:val="20"/>
              </w:rPr>
              <w:t>[ ] the evaluation shall be conducted on an inpatient basis by qualified staff at a hospital designated by the Commissioner of the Department of Behavioral Health and Developmental Services because:</w:t>
            </w:r>
          </w:p>
          <w:p w:rsidR="005D2F9A" w:rsidRDefault="00E27D19">
            <w:pPr>
              <w:pStyle w:val="TableParagraph"/>
              <w:tabs>
                <w:tab w:val="left" w:pos="1368"/>
              </w:tabs>
              <w:spacing w:before="119"/>
              <w:ind w:left="1375" w:right="250" w:hanging="548"/>
              <w:rPr>
                <w:sz w:val="20"/>
              </w:rPr>
            </w:pPr>
            <w:r>
              <w:rPr>
                <w:sz w:val="20"/>
              </w:rPr>
              <w:t>[</w:t>
            </w:r>
            <w:r>
              <w:rPr>
                <w:spacing w:val="48"/>
                <w:sz w:val="20"/>
              </w:rPr>
              <w:t xml:space="preserve"> </w:t>
            </w:r>
            <w:r>
              <w:rPr>
                <w:sz w:val="20"/>
              </w:rPr>
              <w:t>]</w:t>
            </w:r>
            <w:r>
              <w:rPr>
                <w:sz w:val="20"/>
              </w:rPr>
              <w:tab/>
              <w:t>an</w:t>
            </w:r>
            <w:r>
              <w:rPr>
                <w:spacing w:val="-4"/>
                <w:sz w:val="20"/>
              </w:rPr>
              <w:t xml:space="preserve"> </w:t>
            </w:r>
            <w:r>
              <w:rPr>
                <w:sz w:val="20"/>
              </w:rPr>
              <w:t>outpatient</w:t>
            </w:r>
            <w:r>
              <w:rPr>
                <w:spacing w:val="-4"/>
                <w:sz w:val="20"/>
              </w:rPr>
              <w:t xml:space="preserve"> </w:t>
            </w:r>
            <w:r>
              <w:rPr>
                <w:sz w:val="20"/>
              </w:rPr>
              <w:t>evaluation</w:t>
            </w:r>
            <w:r>
              <w:rPr>
                <w:spacing w:val="-4"/>
                <w:sz w:val="20"/>
              </w:rPr>
              <w:t xml:space="preserve"> </w:t>
            </w:r>
            <w:r>
              <w:rPr>
                <w:sz w:val="20"/>
              </w:rPr>
              <w:t>(copy</w:t>
            </w:r>
            <w:r>
              <w:rPr>
                <w:spacing w:val="-4"/>
                <w:sz w:val="20"/>
              </w:rPr>
              <w:t xml:space="preserve"> </w:t>
            </w:r>
            <w:r>
              <w:rPr>
                <w:sz w:val="20"/>
              </w:rPr>
              <w:t>attached)</w:t>
            </w:r>
            <w:r>
              <w:rPr>
                <w:sz w:val="20"/>
              </w:rPr>
              <w:t xml:space="preserve"> </w:t>
            </w:r>
            <w:r>
              <w:rPr>
                <w:sz w:val="20"/>
              </w:rPr>
              <w:t>has</w:t>
            </w:r>
            <w:r>
              <w:rPr>
                <w:spacing w:val="-4"/>
                <w:sz w:val="20"/>
              </w:rPr>
              <w:t xml:space="preserve"> </w:t>
            </w:r>
            <w:r>
              <w:rPr>
                <w:sz w:val="20"/>
              </w:rPr>
              <w:t>been</w:t>
            </w:r>
            <w:r>
              <w:rPr>
                <w:spacing w:val="-4"/>
                <w:sz w:val="20"/>
              </w:rPr>
              <w:t xml:space="preserve"> </w:t>
            </w:r>
            <w:r>
              <w:rPr>
                <w:sz w:val="20"/>
              </w:rPr>
              <w:t>conducted</w:t>
            </w:r>
            <w:r>
              <w:rPr>
                <w:spacing w:val="-2"/>
                <w:sz w:val="20"/>
              </w:rPr>
              <w:t xml:space="preserve"> </w:t>
            </w:r>
            <w:r>
              <w:rPr>
                <w:sz w:val="20"/>
              </w:rPr>
              <w:t>and</w:t>
            </w:r>
            <w:r>
              <w:rPr>
                <w:spacing w:val="-2"/>
                <w:sz w:val="20"/>
              </w:rPr>
              <w:t xml:space="preserve"> </w:t>
            </w:r>
            <w:r>
              <w:rPr>
                <w:sz w:val="20"/>
              </w:rPr>
              <w:t>the</w:t>
            </w:r>
            <w:r>
              <w:rPr>
                <w:spacing w:val="-3"/>
                <w:sz w:val="20"/>
              </w:rPr>
              <w:t xml:space="preserve"> </w:t>
            </w:r>
            <w:r>
              <w:rPr>
                <w:sz w:val="20"/>
              </w:rPr>
              <w:t>outpatient</w:t>
            </w:r>
            <w:r>
              <w:rPr>
                <w:spacing w:val="-4"/>
                <w:sz w:val="20"/>
              </w:rPr>
              <w:t xml:space="preserve"> </w:t>
            </w:r>
            <w:r>
              <w:rPr>
                <w:sz w:val="20"/>
              </w:rPr>
              <w:t>evaluator</w:t>
            </w:r>
            <w:r>
              <w:rPr>
                <w:spacing w:val="-3"/>
                <w:sz w:val="20"/>
              </w:rPr>
              <w:t xml:space="preserve"> </w:t>
            </w:r>
            <w:r>
              <w:rPr>
                <w:sz w:val="20"/>
              </w:rPr>
              <w:t>opined</w:t>
            </w:r>
            <w:r>
              <w:rPr>
                <w:spacing w:val="-2"/>
                <w:sz w:val="20"/>
              </w:rPr>
              <w:t xml:space="preserve"> </w:t>
            </w:r>
            <w:r>
              <w:rPr>
                <w:sz w:val="20"/>
              </w:rPr>
              <w:t>that</w:t>
            </w:r>
            <w:r>
              <w:rPr>
                <w:spacing w:val="-3"/>
                <w:sz w:val="20"/>
              </w:rPr>
              <w:t xml:space="preserve"> </w:t>
            </w:r>
            <w:r>
              <w:rPr>
                <w:sz w:val="20"/>
              </w:rPr>
              <w:t>a</w:t>
            </w:r>
            <w:r>
              <w:rPr>
                <w:spacing w:val="-3"/>
                <w:sz w:val="20"/>
              </w:rPr>
              <w:t xml:space="preserve"> </w:t>
            </w:r>
            <w:r>
              <w:rPr>
                <w:sz w:val="20"/>
              </w:rPr>
              <w:t>hospital-based evaluation is needed to reliably reach an</w:t>
            </w:r>
            <w:r>
              <w:rPr>
                <w:spacing w:val="-5"/>
                <w:sz w:val="20"/>
              </w:rPr>
              <w:t xml:space="preserve"> </w:t>
            </w:r>
            <w:r>
              <w:rPr>
                <w:sz w:val="20"/>
              </w:rPr>
              <w:t>opinion.</w:t>
            </w:r>
          </w:p>
          <w:p w:rsidR="005D2F9A" w:rsidRDefault="00E27D19">
            <w:pPr>
              <w:pStyle w:val="TableParagraph"/>
              <w:tabs>
                <w:tab w:val="left" w:pos="1368"/>
              </w:tabs>
              <w:spacing w:before="140"/>
              <w:ind w:left="1375" w:right="526" w:hanging="548"/>
              <w:rPr>
                <w:sz w:val="20"/>
              </w:rPr>
            </w:pPr>
            <w:r>
              <w:rPr>
                <w:sz w:val="20"/>
              </w:rPr>
              <w:t>[</w:t>
            </w:r>
            <w:r>
              <w:rPr>
                <w:spacing w:val="48"/>
                <w:sz w:val="20"/>
              </w:rPr>
              <w:t xml:space="preserve"> </w:t>
            </w:r>
            <w:r>
              <w:rPr>
                <w:sz w:val="20"/>
              </w:rPr>
              <w:t>]</w:t>
            </w:r>
            <w:r>
              <w:rPr>
                <w:sz w:val="20"/>
              </w:rPr>
              <w:tab/>
            </w:r>
            <w:r>
              <w:rPr>
                <w:sz w:val="20"/>
              </w:rPr>
              <w:t xml:space="preserve">the defendant is currently in the custody of the Commissioner of Behavioral Health and Developmental Services pursuant to Virginia Code §§ 19.2-169.2, 19.2-169.6, 19.2-182.2, 19.2-182.3, 19.2-182.8, 19.2-182.9, or Article 5 (§ 37.2-814 et seq.) of Chapter </w:t>
            </w:r>
            <w:r>
              <w:rPr>
                <w:sz w:val="20"/>
              </w:rPr>
              <w:t>8 of Title</w:t>
            </w:r>
            <w:r>
              <w:rPr>
                <w:spacing w:val="-6"/>
                <w:sz w:val="20"/>
              </w:rPr>
              <w:t xml:space="preserve"> </w:t>
            </w:r>
            <w:r>
              <w:rPr>
                <w:sz w:val="20"/>
              </w:rPr>
              <w:t>37.2.</w:t>
            </w:r>
          </w:p>
          <w:p w:rsidR="005D2F9A" w:rsidRDefault="00E27D19">
            <w:pPr>
              <w:pStyle w:val="TableParagraph"/>
              <w:spacing w:before="179"/>
              <w:ind w:left="107"/>
              <w:rPr>
                <w:sz w:val="16"/>
              </w:rPr>
            </w:pPr>
            <w:r>
              <w:rPr>
                <w:sz w:val="20"/>
              </w:rPr>
              <w:t xml:space="preserve">DUE DATE AND TIME: </w:t>
            </w:r>
            <w:r>
              <w:rPr>
                <w:sz w:val="16"/>
              </w:rPr>
              <w:t>....................................................................................................................................................................................................................</w:t>
            </w:r>
          </w:p>
          <w:p w:rsidR="005D2F9A" w:rsidRDefault="00E27D19">
            <w:pPr>
              <w:pStyle w:val="TableParagraph"/>
              <w:spacing w:before="82"/>
              <w:ind w:left="107"/>
              <w:rPr>
                <w:sz w:val="20"/>
              </w:rPr>
            </w:pPr>
            <w:r>
              <w:rPr>
                <w:sz w:val="20"/>
              </w:rPr>
              <w:t>The Cou</w:t>
            </w:r>
            <w:r>
              <w:rPr>
                <w:sz w:val="20"/>
              </w:rPr>
              <w:t>rt further orders that the Commonwealth’s Attorney and the defendant’s attorney forward appropriate background information to the evaluator(s) as required by law.</w:t>
            </w:r>
          </w:p>
        </w:tc>
      </w:tr>
    </w:tbl>
    <w:p w:rsidR="005D2F9A" w:rsidRDefault="005D2F9A">
      <w:pPr>
        <w:pStyle w:val="BodyText"/>
        <w:rPr>
          <w:sz w:val="22"/>
        </w:rPr>
      </w:pPr>
    </w:p>
    <w:p w:rsidR="005D2F9A" w:rsidRDefault="005D2F9A">
      <w:pPr>
        <w:pStyle w:val="BodyText"/>
        <w:spacing w:before="5"/>
        <w:rPr>
          <w:sz w:val="17"/>
        </w:rPr>
      </w:pPr>
    </w:p>
    <w:p w:rsidR="005D2F9A" w:rsidRDefault="00E27D19">
      <w:pPr>
        <w:ind w:left="220"/>
        <w:rPr>
          <w:sz w:val="20"/>
        </w:rPr>
      </w:pPr>
      <w:r>
        <w:rPr>
          <w:sz w:val="20"/>
        </w:rPr>
        <w:t>TO EVALUATORS AND ATTORNEYS: See reverse for additional instructions.</w:t>
      </w:r>
    </w:p>
    <w:p w:rsidR="005D2F9A" w:rsidRDefault="005D2F9A">
      <w:pPr>
        <w:pStyle w:val="BodyText"/>
        <w:spacing w:before="1"/>
        <w:rPr>
          <w:sz w:val="32"/>
        </w:rPr>
      </w:pPr>
    </w:p>
    <w:p w:rsidR="005D2F9A" w:rsidRDefault="00E27D19">
      <w:pPr>
        <w:tabs>
          <w:tab w:val="left" w:pos="5294"/>
          <w:tab w:val="left" w:pos="10633"/>
        </w:tabs>
        <w:ind w:left="234"/>
        <w:rPr>
          <w:sz w:val="16"/>
        </w:rPr>
      </w:pPr>
      <w:r>
        <w:rPr>
          <w:sz w:val="16"/>
        </w:rPr>
        <w:t>.........................................................................................................</w:t>
      </w:r>
      <w:r>
        <w:rPr>
          <w:sz w:val="16"/>
        </w:rPr>
        <w:tab/>
      </w:r>
      <w:r>
        <w:rPr>
          <w:sz w:val="16"/>
          <w:u w:val="single"/>
        </w:rPr>
        <w:t xml:space="preserve"> </w:t>
      </w:r>
      <w:r>
        <w:rPr>
          <w:sz w:val="16"/>
          <w:u w:val="single"/>
        </w:rPr>
        <w:tab/>
      </w:r>
    </w:p>
    <w:p w:rsidR="005D2F9A" w:rsidRDefault="00E27D19">
      <w:pPr>
        <w:tabs>
          <w:tab w:val="left" w:pos="7740"/>
        </w:tabs>
        <w:spacing w:before="3"/>
        <w:ind w:left="2193"/>
        <w:rPr>
          <w:sz w:val="14"/>
        </w:rPr>
      </w:pPr>
      <w:r>
        <w:rPr>
          <w:sz w:val="14"/>
        </w:rPr>
        <w:t>DATE</w:t>
      </w:r>
      <w:r>
        <w:rPr>
          <w:sz w:val="14"/>
        </w:rPr>
        <w:tab/>
        <w:t>JUDGE</w:t>
      </w:r>
    </w:p>
    <w:p w:rsidR="005D2F9A" w:rsidRDefault="005D2F9A">
      <w:pPr>
        <w:rPr>
          <w:sz w:val="14"/>
        </w:rPr>
        <w:sectPr w:rsidR="005D2F9A">
          <w:headerReference w:type="default" r:id="rId8"/>
          <w:footerReference w:type="default" r:id="rId9"/>
          <w:type w:val="continuous"/>
          <w:pgSz w:w="12240" w:h="15840"/>
          <w:pgMar w:top="800" w:right="500" w:bottom="420" w:left="500" w:header="554" w:footer="221" w:gutter="0"/>
          <w:cols w:space="720"/>
        </w:sectPr>
      </w:pPr>
    </w:p>
    <w:p w:rsidR="005D2F9A" w:rsidRDefault="00E27D19">
      <w:pPr>
        <w:spacing w:before="186"/>
        <w:ind w:left="220"/>
        <w:rPr>
          <w:b/>
          <w:sz w:val="20"/>
        </w:rPr>
      </w:pPr>
      <w:r>
        <w:rPr>
          <w:b/>
          <w:sz w:val="20"/>
        </w:rPr>
        <w:lastRenderedPageBreak/>
        <w:t>Providing Background Information</w:t>
      </w:r>
    </w:p>
    <w:p w:rsidR="005D2F9A" w:rsidRDefault="00E27D19">
      <w:pPr>
        <w:pStyle w:val="ListParagraph"/>
        <w:numPr>
          <w:ilvl w:val="0"/>
          <w:numId w:val="1"/>
        </w:numPr>
        <w:tabs>
          <w:tab w:val="left" w:pos="580"/>
        </w:tabs>
        <w:spacing w:before="177"/>
        <w:ind w:right="533"/>
        <w:rPr>
          <w:sz w:val="24"/>
        </w:rPr>
      </w:pPr>
      <w:r>
        <w:rPr>
          <w:sz w:val="24"/>
        </w:rPr>
        <w:t>Competency Evaluation: Prior to an evaluation of competency pursuant to Va. Code § 19.2-</w:t>
      </w:r>
      <w:r>
        <w:rPr>
          <w:sz w:val="24"/>
        </w:rPr>
        <w:t>169.1, the Commonwealth’s Attorney must forward to the evaluator(s) within 96 hours of the issuance of this</w:t>
      </w:r>
      <w:r>
        <w:rPr>
          <w:spacing w:val="-16"/>
          <w:sz w:val="24"/>
        </w:rPr>
        <w:t xml:space="preserve"> </w:t>
      </w:r>
      <w:r>
        <w:rPr>
          <w:sz w:val="24"/>
        </w:rPr>
        <w:t>order:</w:t>
      </w:r>
    </w:p>
    <w:p w:rsidR="005D2F9A" w:rsidRDefault="005D2F9A">
      <w:pPr>
        <w:pStyle w:val="BodyText"/>
      </w:pPr>
    </w:p>
    <w:p w:rsidR="005D2F9A" w:rsidRDefault="00E27D19">
      <w:pPr>
        <w:pStyle w:val="ListParagraph"/>
        <w:numPr>
          <w:ilvl w:val="1"/>
          <w:numId w:val="1"/>
        </w:numPr>
        <w:tabs>
          <w:tab w:val="left" w:pos="941"/>
        </w:tabs>
        <w:spacing w:before="0"/>
        <w:ind w:hanging="360"/>
        <w:rPr>
          <w:sz w:val="24"/>
        </w:rPr>
      </w:pPr>
      <w:r>
        <w:rPr>
          <w:sz w:val="24"/>
        </w:rPr>
        <w:t>a copy of the</w:t>
      </w:r>
      <w:r>
        <w:rPr>
          <w:spacing w:val="-6"/>
          <w:sz w:val="24"/>
        </w:rPr>
        <w:t xml:space="preserve"> </w:t>
      </w:r>
      <w:r>
        <w:rPr>
          <w:sz w:val="24"/>
        </w:rPr>
        <w:t>warrant;</w:t>
      </w:r>
    </w:p>
    <w:p w:rsidR="005D2F9A" w:rsidRDefault="00E27D19">
      <w:pPr>
        <w:pStyle w:val="ListParagraph"/>
        <w:numPr>
          <w:ilvl w:val="1"/>
          <w:numId w:val="1"/>
        </w:numPr>
        <w:tabs>
          <w:tab w:val="left" w:pos="941"/>
        </w:tabs>
        <w:ind w:right="805" w:hanging="360"/>
        <w:rPr>
          <w:sz w:val="24"/>
        </w:rPr>
      </w:pPr>
      <w:r>
        <w:rPr>
          <w:sz w:val="24"/>
        </w:rPr>
        <w:t>the names and addresses of the Commonwealth’s Attorney, the defendant’s attorney, and the</w:t>
      </w:r>
      <w:r>
        <w:rPr>
          <w:spacing w:val="-26"/>
          <w:sz w:val="24"/>
        </w:rPr>
        <w:t xml:space="preserve"> </w:t>
      </w:r>
      <w:r>
        <w:rPr>
          <w:sz w:val="24"/>
        </w:rPr>
        <w:t>judge ordering the</w:t>
      </w:r>
      <w:r>
        <w:rPr>
          <w:spacing w:val="-4"/>
          <w:sz w:val="24"/>
        </w:rPr>
        <w:t xml:space="preserve"> </w:t>
      </w:r>
      <w:r>
        <w:rPr>
          <w:sz w:val="24"/>
        </w:rPr>
        <w:t>evaluati</w:t>
      </w:r>
      <w:r>
        <w:rPr>
          <w:sz w:val="24"/>
        </w:rPr>
        <w:t>on;</w:t>
      </w:r>
    </w:p>
    <w:p w:rsidR="005D2F9A" w:rsidRDefault="00E27D19">
      <w:pPr>
        <w:pStyle w:val="ListParagraph"/>
        <w:numPr>
          <w:ilvl w:val="1"/>
          <w:numId w:val="1"/>
        </w:numPr>
        <w:tabs>
          <w:tab w:val="left" w:pos="941"/>
        </w:tabs>
        <w:ind w:hanging="360"/>
        <w:rPr>
          <w:sz w:val="24"/>
        </w:rPr>
      </w:pPr>
      <w:r>
        <w:rPr>
          <w:sz w:val="24"/>
        </w:rPr>
        <w:t>information about the alleged crime;</w:t>
      </w:r>
      <w:r>
        <w:rPr>
          <w:sz w:val="24"/>
        </w:rPr>
        <w:t xml:space="preserve"> </w:t>
      </w:r>
      <w:r>
        <w:rPr>
          <w:sz w:val="24"/>
        </w:rPr>
        <w:t>and</w:t>
      </w:r>
    </w:p>
    <w:p w:rsidR="005D2F9A" w:rsidRDefault="00E27D19">
      <w:pPr>
        <w:pStyle w:val="ListParagraph"/>
        <w:numPr>
          <w:ilvl w:val="1"/>
          <w:numId w:val="1"/>
        </w:numPr>
        <w:tabs>
          <w:tab w:val="left" w:pos="941"/>
        </w:tabs>
        <w:ind w:hanging="360"/>
        <w:rPr>
          <w:sz w:val="24"/>
        </w:rPr>
      </w:pPr>
      <w:r>
        <w:rPr>
          <w:sz w:val="24"/>
        </w:rPr>
        <w:t>a summary of the reasons for the evaluation</w:t>
      </w:r>
      <w:r>
        <w:rPr>
          <w:spacing w:val="-8"/>
          <w:sz w:val="24"/>
        </w:rPr>
        <w:t xml:space="preserve"> </w:t>
      </w:r>
      <w:r>
        <w:rPr>
          <w:sz w:val="24"/>
        </w:rPr>
        <w:t>request.</w:t>
      </w:r>
    </w:p>
    <w:p w:rsidR="005D2F9A" w:rsidRDefault="005D2F9A">
      <w:pPr>
        <w:pStyle w:val="BodyText"/>
        <w:spacing w:before="5"/>
        <w:rPr>
          <w:sz w:val="34"/>
        </w:rPr>
      </w:pPr>
    </w:p>
    <w:p w:rsidR="005D2F9A" w:rsidRDefault="00E27D19">
      <w:pPr>
        <w:pStyle w:val="BodyText"/>
        <w:ind w:left="520" w:right="843"/>
      </w:pPr>
      <w:r>
        <w:t>The defendant’s attorney must provide any available psychiatric records and other information that are deemed relevant within 96 hours of the issuance of this order. Va. Code § 19.2-169.1(C).</w:t>
      </w:r>
    </w:p>
    <w:p w:rsidR="005D2F9A" w:rsidRDefault="005D2F9A">
      <w:pPr>
        <w:pStyle w:val="BodyText"/>
        <w:spacing w:before="1"/>
      </w:pPr>
    </w:p>
    <w:p w:rsidR="005D2F9A" w:rsidRDefault="00E27D19">
      <w:pPr>
        <w:pStyle w:val="ListParagraph"/>
        <w:numPr>
          <w:ilvl w:val="0"/>
          <w:numId w:val="1"/>
        </w:numPr>
        <w:tabs>
          <w:tab w:val="left" w:pos="580"/>
        </w:tabs>
        <w:spacing w:before="0"/>
        <w:ind w:right="946"/>
        <w:rPr>
          <w:sz w:val="24"/>
        </w:rPr>
      </w:pPr>
      <w:r>
        <w:rPr>
          <w:sz w:val="24"/>
        </w:rPr>
        <w:t>Sanity at the Time of the Offense: Prior to an evaluation of sa</w:t>
      </w:r>
      <w:r>
        <w:rPr>
          <w:sz w:val="24"/>
        </w:rPr>
        <w:t>nity at the time of the offense, the party making the motion for the evaluation must forward to the</w:t>
      </w:r>
      <w:r>
        <w:rPr>
          <w:spacing w:val="-6"/>
          <w:sz w:val="24"/>
        </w:rPr>
        <w:t xml:space="preserve"> </w:t>
      </w:r>
      <w:r>
        <w:rPr>
          <w:sz w:val="24"/>
        </w:rPr>
        <w:t>evaluator(s):</w:t>
      </w:r>
    </w:p>
    <w:p w:rsidR="005D2F9A" w:rsidRDefault="005D2F9A">
      <w:pPr>
        <w:pStyle w:val="BodyText"/>
      </w:pPr>
    </w:p>
    <w:p w:rsidR="005D2F9A" w:rsidRDefault="00E27D19">
      <w:pPr>
        <w:pStyle w:val="ListParagraph"/>
        <w:numPr>
          <w:ilvl w:val="1"/>
          <w:numId w:val="1"/>
        </w:numPr>
        <w:tabs>
          <w:tab w:val="left" w:pos="941"/>
        </w:tabs>
        <w:spacing w:before="0"/>
        <w:ind w:hanging="360"/>
        <w:rPr>
          <w:sz w:val="24"/>
        </w:rPr>
      </w:pPr>
      <w:r>
        <w:rPr>
          <w:sz w:val="24"/>
        </w:rPr>
        <w:t>a copy of the</w:t>
      </w:r>
      <w:r>
        <w:rPr>
          <w:spacing w:val="-6"/>
          <w:sz w:val="24"/>
        </w:rPr>
        <w:t xml:space="preserve"> </w:t>
      </w:r>
      <w:r>
        <w:rPr>
          <w:sz w:val="24"/>
        </w:rPr>
        <w:t>warrant;</w:t>
      </w:r>
    </w:p>
    <w:p w:rsidR="005D2F9A" w:rsidRDefault="00E27D19">
      <w:pPr>
        <w:pStyle w:val="ListParagraph"/>
        <w:numPr>
          <w:ilvl w:val="1"/>
          <w:numId w:val="1"/>
        </w:numPr>
        <w:tabs>
          <w:tab w:val="left" w:pos="941"/>
        </w:tabs>
        <w:ind w:right="805" w:hanging="360"/>
        <w:rPr>
          <w:sz w:val="24"/>
        </w:rPr>
      </w:pPr>
      <w:r>
        <w:rPr>
          <w:sz w:val="24"/>
        </w:rPr>
        <w:t>the names and addresses of the Commonwealth’s Attorney, the defendant’s attorney, and the</w:t>
      </w:r>
      <w:r>
        <w:rPr>
          <w:spacing w:val="-26"/>
          <w:sz w:val="24"/>
        </w:rPr>
        <w:t xml:space="preserve"> </w:t>
      </w:r>
      <w:r>
        <w:rPr>
          <w:sz w:val="24"/>
        </w:rPr>
        <w:t>judge ordering the</w:t>
      </w:r>
      <w:r>
        <w:rPr>
          <w:spacing w:val="-4"/>
          <w:sz w:val="24"/>
        </w:rPr>
        <w:t xml:space="preserve"> </w:t>
      </w:r>
      <w:r>
        <w:rPr>
          <w:sz w:val="24"/>
        </w:rPr>
        <w:t>evaluation;</w:t>
      </w:r>
    </w:p>
    <w:p w:rsidR="005D2F9A" w:rsidRDefault="00E27D19">
      <w:pPr>
        <w:pStyle w:val="ListParagraph"/>
        <w:numPr>
          <w:ilvl w:val="1"/>
          <w:numId w:val="1"/>
        </w:numPr>
        <w:tabs>
          <w:tab w:val="left" w:pos="941"/>
        </w:tabs>
        <w:ind w:right="873" w:hanging="360"/>
        <w:rPr>
          <w:sz w:val="24"/>
        </w:rPr>
      </w:pPr>
      <w:r>
        <w:rPr>
          <w:sz w:val="24"/>
        </w:rPr>
        <w:t>information about the alleged crime, including statements by the defendant made to the police</w:t>
      </w:r>
      <w:r>
        <w:rPr>
          <w:spacing w:val="-17"/>
          <w:sz w:val="24"/>
        </w:rPr>
        <w:t xml:space="preserve"> </w:t>
      </w:r>
      <w:r>
        <w:rPr>
          <w:sz w:val="24"/>
        </w:rPr>
        <w:t>and transcripts of preliminary hearings, if</w:t>
      </w:r>
      <w:r>
        <w:rPr>
          <w:spacing w:val="-4"/>
          <w:sz w:val="24"/>
        </w:rPr>
        <w:t xml:space="preserve"> </w:t>
      </w:r>
      <w:r>
        <w:rPr>
          <w:sz w:val="24"/>
        </w:rPr>
        <w:t>any;</w:t>
      </w:r>
    </w:p>
    <w:p w:rsidR="005D2F9A" w:rsidRDefault="00E27D19">
      <w:pPr>
        <w:pStyle w:val="ListParagraph"/>
        <w:numPr>
          <w:ilvl w:val="1"/>
          <w:numId w:val="1"/>
        </w:numPr>
        <w:tabs>
          <w:tab w:val="left" w:pos="941"/>
        </w:tabs>
        <w:ind w:hanging="360"/>
        <w:rPr>
          <w:sz w:val="24"/>
        </w:rPr>
      </w:pPr>
      <w:r>
        <w:rPr>
          <w:sz w:val="24"/>
        </w:rPr>
        <w:t>a summary of the reasons for the evaluation</w:t>
      </w:r>
      <w:r>
        <w:rPr>
          <w:spacing w:val="-8"/>
          <w:sz w:val="24"/>
        </w:rPr>
        <w:t xml:space="preserve"> </w:t>
      </w:r>
      <w:r>
        <w:rPr>
          <w:sz w:val="24"/>
        </w:rPr>
        <w:t>request;</w:t>
      </w:r>
    </w:p>
    <w:p w:rsidR="005D2F9A" w:rsidRDefault="00E27D19">
      <w:pPr>
        <w:pStyle w:val="ListParagraph"/>
        <w:numPr>
          <w:ilvl w:val="1"/>
          <w:numId w:val="1"/>
        </w:numPr>
        <w:tabs>
          <w:tab w:val="left" w:pos="941"/>
        </w:tabs>
        <w:ind w:hanging="360"/>
        <w:rPr>
          <w:sz w:val="24"/>
        </w:rPr>
      </w:pPr>
      <w:r>
        <w:rPr>
          <w:sz w:val="24"/>
        </w:rPr>
        <w:t>any available psychiatric, psychological, medica</w:t>
      </w:r>
      <w:r>
        <w:rPr>
          <w:sz w:val="24"/>
        </w:rPr>
        <w:t>l or social records that are deemed relevant;</w:t>
      </w:r>
      <w:r>
        <w:rPr>
          <w:spacing w:val="-10"/>
          <w:sz w:val="24"/>
        </w:rPr>
        <w:t xml:space="preserve"> </w:t>
      </w:r>
      <w:r>
        <w:rPr>
          <w:sz w:val="24"/>
        </w:rPr>
        <w:t>and</w:t>
      </w:r>
    </w:p>
    <w:p w:rsidR="005D2F9A" w:rsidRDefault="00E27D19">
      <w:pPr>
        <w:pStyle w:val="ListParagraph"/>
        <w:numPr>
          <w:ilvl w:val="1"/>
          <w:numId w:val="1"/>
        </w:numPr>
        <w:tabs>
          <w:tab w:val="left" w:pos="940"/>
          <w:tab w:val="left" w:pos="941"/>
        </w:tabs>
        <w:spacing w:line="343" w:lineRule="auto"/>
        <w:ind w:right="3303" w:hanging="360"/>
        <w:rPr>
          <w:sz w:val="24"/>
        </w:rPr>
      </w:pPr>
      <w:r>
        <w:rPr>
          <w:sz w:val="24"/>
        </w:rPr>
        <w:t>a copy of defendant’s criminal record, to the extent reasonably</w:t>
      </w:r>
      <w:r>
        <w:rPr>
          <w:spacing w:val="-15"/>
          <w:sz w:val="24"/>
        </w:rPr>
        <w:t xml:space="preserve"> </w:t>
      </w:r>
      <w:r>
        <w:rPr>
          <w:sz w:val="24"/>
        </w:rPr>
        <w:t>available. Va. Code §</w:t>
      </w:r>
      <w:r>
        <w:rPr>
          <w:spacing w:val="-2"/>
          <w:sz w:val="24"/>
        </w:rPr>
        <w:t xml:space="preserve"> </w:t>
      </w:r>
      <w:r>
        <w:rPr>
          <w:sz w:val="24"/>
        </w:rPr>
        <w:t>19.2-169.5(C).</w:t>
      </w:r>
    </w:p>
    <w:p w:rsidR="005D2F9A" w:rsidRDefault="005D2F9A">
      <w:pPr>
        <w:pStyle w:val="BodyText"/>
        <w:spacing w:before="3"/>
        <w:rPr>
          <w:sz w:val="38"/>
        </w:rPr>
      </w:pPr>
    </w:p>
    <w:p w:rsidR="005D2F9A" w:rsidRDefault="00E27D19">
      <w:pPr>
        <w:pStyle w:val="Heading1"/>
        <w:spacing w:before="0"/>
        <w:ind w:left="220"/>
      </w:pPr>
      <w:r>
        <w:t>Use of Information Obtained During Evaluation</w:t>
      </w:r>
    </w:p>
    <w:p w:rsidR="005D2F9A" w:rsidRDefault="005D2F9A">
      <w:pPr>
        <w:pStyle w:val="BodyText"/>
        <w:spacing w:before="7"/>
        <w:rPr>
          <w:b/>
          <w:sz w:val="23"/>
        </w:rPr>
      </w:pPr>
    </w:p>
    <w:p w:rsidR="005D2F9A" w:rsidRDefault="00E27D19">
      <w:pPr>
        <w:pStyle w:val="BodyText"/>
        <w:ind w:left="220" w:right="109" w:firstLine="720"/>
      </w:pPr>
      <w:r>
        <w:t>No statement of disclosure by the defendant concerning the alleged offense made during the evaluation may be used against the defendant at the trial as evidence, or as a basis for such evidence, except on the issue of his/her mental condition at the time o</w:t>
      </w:r>
      <w:r>
        <w:t>f the offense after the defendant raises the issue pursuant to § 19.2-168 of the Code of Virginia. Va. Code § 19.2-169.7.</w:t>
      </w:r>
    </w:p>
    <w:sectPr w:rsidR="005D2F9A">
      <w:headerReference w:type="default" r:id="rId10"/>
      <w:footerReference w:type="default" r:id="rId11"/>
      <w:pgSz w:w="12240" w:h="15840"/>
      <w:pgMar w:top="800" w:right="500" w:bottom="560" w:left="500" w:header="554" w:footer="3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27D19">
      <w:r>
        <w:separator/>
      </w:r>
    </w:p>
  </w:endnote>
  <w:endnote w:type="continuationSeparator" w:id="0">
    <w:p w:rsidR="00000000" w:rsidRDefault="00E27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F9A" w:rsidRDefault="00E27D19">
    <w:pPr>
      <w:pStyle w:val="BodyText"/>
      <w:spacing w:line="14" w:lineRule="auto"/>
      <w:rPr>
        <w:sz w:val="20"/>
      </w:rPr>
    </w:pPr>
    <w:r>
      <w:rPr>
        <w:noProof/>
        <w:lang w:bidi="ar-SA"/>
      </w:rPr>
      <mc:AlternateContent>
        <mc:Choice Requires="wps">
          <w:drawing>
            <wp:anchor distT="0" distB="0" distL="114300" distR="114300" simplePos="0" relativeHeight="503312744" behindDoc="1" locked="0" layoutInCell="1" allowOverlap="1">
              <wp:simplePos x="0" y="0"/>
              <wp:positionH relativeFrom="page">
                <wp:posOffset>444500</wp:posOffset>
              </wp:positionH>
              <wp:positionV relativeFrom="page">
                <wp:posOffset>9778365</wp:posOffset>
              </wp:positionV>
              <wp:extent cx="1801495" cy="109855"/>
              <wp:effectExtent l="0" t="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1495"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F9A" w:rsidRDefault="00E27D19">
                          <w:pPr>
                            <w:spacing w:before="15"/>
                            <w:ind w:left="20"/>
                            <w:rPr>
                              <w:sz w:val="12"/>
                            </w:rPr>
                          </w:pPr>
                          <w:r>
                            <w:rPr>
                              <w:sz w:val="12"/>
                            </w:rPr>
                            <w:t>FORM DC-342 (MASTER, PAGE ONE OF TWO) 07/18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69.95pt;width:141.85pt;height:8.65pt;z-index:-3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I89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" filled="f" stroked="f">
              <v:textbox inset="0,0,0,0">
                <w:txbxContent>
                  <w:p w:rsidR="005D2F9A" w:rsidRDefault="00E27D19">
                    <w:pPr>
                      <w:spacing w:before="15"/>
                      <w:ind w:left="20"/>
                      <w:rPr>
                        <w:sz w:val="12"/>
                      </w:rPr>
                    </w:pPr>
                    <w:r>
                      <w:rPr>
                        <w:sz w:val="12"/>
                      </w:rPr>
                      <w:t>FORM DC-342 (MASTER, PAGE ONE OF TWO) 07/18</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F9A" w:rsidRDefault="00E27D19">
    <w:pPr>
      <w:pStyle w:val="BodyText"/>
      <w:spacing w:line="14" w:lineRule="auto"/>
      <w:rPr>
        <w:sz w:val="20"/>
      </w:rPr>
    </w:pPr>
    <w:r>
      <w:rPr>
        <w:noProof/>
        <w:lang w:bidi="ar-SA"/>
      </w:rPr>
      <mc:AlternateContent>
        <mc:Choice Requires="wps">
          <w:drawing>
            <wp:anchor distT="0" distB="0" distL="114300" distR="114300" simplePos="0" relativeHeight="503312792" behindDoc="1" locked="0" layoutInCell="1" allowOverlap="1">
              <wp:simplePos x="0" y="0"/>
              <wp:positionH relativeFrom="page">
                <wp:posOffset>444500</wp:posOffset>
              </wp:positionH>
              <wp:positionV relativeFrom="page">
                <wp:posOffset>9689465</wp:posOffset>
              </wp:positionV>
              <wp:extent cx="1816735" cy="109855"/>
              <wp:effectExtent l="0" t="254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F9A" w:rsidRDefault="00E27D19">
                          <w:pPr>
                            <w:spacing w:before="15"/>
                            <w:ind w:left="20"/>
                            <w:rPr>
                              <w:sz w:val="12"/>
                            </w:rPr>
                          </w:pPr>
                          <w:r>
                            <w:rPr>
                              <w:sz w:val="12"/>
                            </w:rPr>
                            <w:t>FORM DC-342 (MASTER, PAGE TWO OF TWO) 07/10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35pt;margin-top:762.95pt;width:143.05pt;height:8.65pt;z-index:-3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" filled="f" stroked="f">
              <v:textbox inset="0,0,0,0">
                <w:txbxContent>
                  <w:p w:rsidR="005D2F9A" w:rsidRDefault="00E27D19">
                    <w:pPr>
                      <w:spacing w:before="15"/>
                      <w:ind w:left="20"/>
                      <w:rPr>
                        <w:sz w:val="12"/>
                      </w:rPr>
                    </w:pPr>
                    <w:r>
                      <w:rPr>
                        <w:sz w:val="12"/>
                      </w:rPr>
                      <w:t>FORM DC-342 (MASTER, PAGE TWO OF TWO) 07/10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27D19">
      <w:r>
        <w:separator/>
      </w:r>
    </w:p>
  </w:footnote>
  <w:footnote w:type="continuationSeparator" w:id="0">
    <w:p w:rsidR="00000000" w:rsidRDefault="00E27D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F9A" w:rsidRDefault="00E27D19">
    <w:pPr>
      <w:pStyle w:val="BodyText"/>
      <w:spacing w:line="14" w:lineRule="auto"/>
      <w:rPr>
        <w:sz w:val="20"/>
      </w:rPr>
    </w:pPr>
    <w:r>
      <w:rPr>
        <w:noProof/>
        <w:lang w:bidi="ar-SA"/>
      </w:rPr>
      <mc:AlternateContent>
        <mc:Choice Requires="wps">
          <w:drawing>
            <wp:anchor distT="0" distB="0" distL="114300" distR="114300" simplePos="0" relativeHeight="503312696" behindDoc="1" locked="0" layoutInCell="1" allowOverlap="1">
              <wp:simplePos x="0" y="0"/>
              <wp:positionH relativeFrom="page">
                <wp:posOffset>444500</wp:posOffset>
              </wp:positionH>
              <wp:positionV relativeFrom="page">
                <wp:posOffset>339090</wp:posOffset>
              </wp:positionV>
              <wp:extent cx="3398520" cy="19431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F9A" w:rsidRDefault="00E27D19">
                          <w:pPr>
                            <w:spacing w:before="10"/>
                            <w:ind w:left="20"/>
                            <w:rPr>
                              <w:b/>
                              <w:sz w:val="24"/>
                            </w:rPr>
                          </w:pPr>
                          <w:r>
                            <w:rPr>
                              <w:b/>
                              <w:sz w:val="24"/>
                            </w:rPr>
                            <w:t>ORDER FOR PSYCHOLOGICAL EVALUATION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5pt;margin-top:26.7pt;width:267.6pt;height:15.3pt;z-index:-3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" filled="f" stroked="f">
              <v:textbox inset="0,0,0,0">
                <w:txbxContent>
                  <w:p w:rsidR="005D2F9A" w:rsidRDefault="00E27D19">
                    <w:pPr>
                      <w:spacing w:before="10"/>
                      <w:ind w:left="20"/>
                      <w:rPr>
                        <w:b/>
                        <w:sz w:val="24"/>
                      </w:rPr>
                    </w:pPr>
                    <w:r>
                      <w:rPr>
                        <w:b/>
                        <w:sz w:val="24"/>
                      </w:rPr>
                      <w:t>ORDER FOR PSYCHOLOGICAL EVALUATION</w:t>
                    </w:r>
                  </w:p>
                </w:txbxContent>
              </v:textbox>
              <w10:wrap anchorx="page" anchory="page"/>
            </v:shape>
          </w:pict>
        </mc:Fallback>
      </mc:AlternateContent>
    </w:r>
    <w:r>
      <w:rPr>
        <w:noProof/>
        <w:lang w:bidi="ar-SA"/>
      </w:rPr>
      <mc:AlternateContent>
        <mc:Choice Requires="wps">
          <w:drawing>
            <wp:anchor distT="0" distB="0" distL="114300" distR="114300" simplePos="0" relativeHeight="503312720" behindDoc="1" locked="0" layoutInCell="1" allowOverlap="1">
              <wp:simplePos x="0" y="0"/>
              <wp:positionH relativeFrom="page">
                <wp:posOffset>5017135</wp:posOffset>
              </wp:positionH>
              <wp:positionV relativeFrom="page">
                <wp:posOffset>361950</wp:posOffset>
              </wp:positionV>
              <wp:extent cx="2303145" cy="165735"/>
              <wp:effectExtent l="0" t="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F9A" w:rsidRDefault="00E27D19">
                          <w:pPr>
                            <w:spacing w:before="10"/>
                            <w:ind w:left="20"/>
                            <w:rPr>
                              <w:sz w:val="16"/>
                            </w:rPr>
                          </w:pPr>
                          <w:r>
                            <w:rPr>
                              <w:sz w:val="20"/>
                            </w:rPr>
                            <w:t xml:space="preserve">Case No. </w:t>
                          </w:r>
                          <w:r>
                            <w:rPr>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95.05pt;margin-top:28.5pt;width:181.35pt;height:13.05pt;z-index:-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oDsAIAALA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" filled="f" stroked="f">
              <v:textbox inset="0,0,0,0">
                <w:txbxContent>
                  <w:p w:rsidR="005D2F9A" w:rsidRDefault="00E27D19">
                    <w:pPr>
                      <w:spacing w:before="10"/>
                      <w:ind w:left="20"/>
                      <w:rPr>
                        <w:sz w:val="16"/>
                      </w:rPr>
                    </w:pPr>
                    <w:r>
                      <w:rPr>
                        <w:sz w:val="20"/>
                      </w:rPr>
                      <w:t xml:space="preserve">Case No. </w:t>
                    </w:r>
                    <w:r>
                      <w:rPr>
                        <w:sz w:val="16"/>
                      </w:rPr>
                      <w: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F9A" w:rsidRDefault="00E27D19">
    <w:pPr>
      <w:pStyle w:val="BodyText"/>
      <w:spacing w:line="14" w:lineRule="auto"/>
      <w:rPr>
        <w:sz w:val="20"/>
      </w:rPr>
    </w:pPr>
    <w:r>
      <w:rPr>
        <w:noProof/>
        <w:lang w:bidi="ar-SA"/>
      </w:rPr>
      <mc:AlternateContent>
        <mc:Choice Requires="wps">
          <w:drawing>
            <wp:anchor distT="0" distB="0" distL="114300" distR="114300" simplePos="0" relativeHeight="503312768" behindDoc="1" locked="0" layoutInCell="1" allowOverlap="1">
              <wp:simplePos x="0" y="0"/>
              <wp:positionH relativeFrom="page">
                <wp:posOffset>444500</wp:posOffset>
              </wp:positionH>
              <wp:positionV relativeFrom="page">
                <wp:posOffset>339090</wp:posOffset>
              </wp:positionV>
              <wp:extent cx="502412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1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F9A" w:rsidRDefault="00E27D19">
                          <w:pPr>
                            <w:spacing w:before="10"/>
                            <w:ind w:left="20"/>
                            <w:rPr>
                              <w:b/>
                              <w:sz w:val="24"/>
                            </w:rPr>
                          </w:pPr>
                          <w:r>
                            <w:rPr>
                              <w:b/>
                              <w:sz w:val="24"/>
                            </w:rPr>
                            <w:t>ADDITIONAL INSTRUCTIONS TO EVALUATOR(S) AND ATTORNEYS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5pt;margin-top:26.7pt;width:395.6pt;height:15.3pt;z-index:-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" filled="f" stroked="f">
              <v:textbox inset="0,0,0,0">
                <w:txbxContent>
                  <w:p w:rsidR="005D2F9A" w:rsidRDefault="00E27D19">
                    <w:pPr>
                      <w:spacing w:before="10"/>
                      <w:ind w:left="20"/>
                      <w:rPr>
                        <w:b/>
                        <w:sz w:val="24"/>
                      </w:rPr>
                    </w:pPr>
                    <w:r>
                      <w:rPr>
                        <w:b/>
                        <w:sz w:val="24"/>
                      </w:rPr>
                      <w:t>ADDITIONAL INSTRUCTIONS TO EVALUATOR(S) AND ATTORNEYS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20DE5"/>
    <w:multiLevelType w:val="hybridMultilevel"/>
    <w:tmpl w:val="947E345C"/>
    <w:lvl w:ilvl="0" w:tplc="3B42D708">
      <w:start w:val="1"/>
      <w:numFmt w:val="decimal"/>
      <w:lvlText w:val="%1."/>
      <w:lvlJc w:val="left"/>
      <w:pPr>
        <w:ind w:left="580" w:hanging="360"/>
        <w:jc w:val="left"/>
      </w:pPr>
      <w:rPr>
        <w:rFonts w:ascii="Times New Roman" w:eastAsia="Times New Roman" w:hAnsi="Times New Roman" w:cs="Times New Roman" w:hint="default"/>
        <w:spacing w:val="-5"/>
        <w:w w:val="99"/>
        <w:sz w:val="24"/>
        <w:szCs w:val="24"/>
        <w:lang w:val="en-US" w:eastAsia="en-US" w:bidi="en-US"/>
      </w:rPr>
    </w:lvl>
    <w:lvl w:ilvl="1" w:tplc="FB6E631A">
      <w:start w:val="1"/>
      <w:numFmt w:val="lowerLetter"/>
      <w:lvlText w:val="%2."/>
      <w:lvlJc w:val="left"/>
      <w:pPr>
        <w:ind w:left="940" w:hanging="361"/>
        <w:jc w:val="left"/>
      </w:pPr>
      <w:rPr>
        <w:rFonts w:ascii="Times New Roman" w:eastAsia="Times New Roman" w:hAnsi="Times New Roman" w:cs="Times New Roman" w:hint="default"/>
        <w:spacing w:val="-5"/>
        <w:w w:val="99"/>
        <w:sz w:val="24"/>
        <w:szCs w:val="24"/>
        <w:lang w:val="en-US" w:eastAsia="en-US" w:bidi="en-US"/>
      </w:rPr>
    </w:lvl>
    <w:lvl w:ilvl="2" w:tplc="38C2F200">
      <w:numFmt w:val="bullet"/>
      <w:lvlText w:val="•"/>
      <w:lvlJc w:val="left"/>
      <w:pPr>
        <w:ind w:left="2084" w:hanging="361"/>
      </w:pPr>
      <w:rPr>
        <w:rFonts w:hint="default"/>
        <w:lang w:val="en-US" w:eastAsia="en-US" w:bidi="en-US"/>
      </w:rPr>
    </w:lvl>
    <w:lvl w:ilvl="3" w:tplc="B4C6BE7C">
      <w:numFmt w:val="bullet"/>
      <w:lvlText w:val="•"/>
      <w:lvlJc w:val="left"/>
      <w:pPr>
        <w:ind w:left="3228" w:hanging="361"/>
      </w:pPr>
      <w:rPr>
        <w:rFonts w:hint="default"/>
        <w:lang w:val="en-US" w:eastAsia="en-US" w:bidi="en-US"/>
      </w:rPr>
    </w:lvl>
    <w:lvl w:ilvl="4" w:tplc="1AFEF632">
      <w:numFmt w:val="bullet"/>
      <w:lvlText w:val="•"/>
      <w:lvlJc w:val="left"/>
      <w:pPr>
        <w:ind w:left="4373" w:hanging="361"/>
      </w:pPr>
      <w:rPr>
        <w:rFonts w:hint="default"/>
        <w:lang w:val="en-US" w:eastAsia="en-US" w:bidi="en-US"/>
      </w:rPr>
    </w:lvl>
    <w:lvl w:ilvl="5" w:tplc="5E2AFC16">
      <w:numFmt w:val="bullet"/>
      <w:lvlText w:val="•"/>
      <w:lvlJc w:val="left"/>
      <w:pPr>
        <w:ind w:left="5517" w:hanging="361"/>
      </w:pPr>
      <w:rPr>
        <w:rFonts w:hint="default"/>
        <w:lang w:val="en-US" w:eastAsia="en-US" w:bidi="en-US"/>
      </w:rPr>
    </w:lvl>
    <w:lvl w:ilvl="6" w:tplc="70E681C8">
      <w:numFmt w:val="bullet"/>
      <w:lvlText w:val="•"/>
      <w:lvlJc w:val="left"/>
      <w:pPr>
        <w:ind w:left="6662" w:hanging="361"/>
      </w:pPr>
      <w:rPr>
        <w:rFonts w:hint="default"/>
        <w:lang w:val="en-US" w:eastAsia="en-US" w:bidi="en-US"/>
      </w:rPr>
    </w:lvl>
    <w:lvl w:ilvl="7" w:tplc="6CA67376">
      <w:numFmt w:val="bullet"/>
      <w:lvlText w:val="•"/>
      <w:lvlJc w:val="left"/>
      <w:pPr>
        <w:ind w:left="7806" w:hanging="361"/>
      </w:pPr>
      <w:rPr>
        <w:rFonts w:hint="default"/>
        <w:lang w:val="en-US" w:eastAsia="en-US" w:bidi="en-US"/>
      </w:rPr>
    </w:lvl>
    <w:lvl w:ilvl="8" w:tplc="E1B0C3AA">
      <w:numFmt w:val="bullet"/>
      <w:lvlText w:val="•"/>
      <w:lvlJc w:val="left"/>
      <w:pPr>
        <w:ind w:left="8951"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F9A"/>
    <w:rsid w:val="005D2F9A"/>
    <w:rsid w:val="00E27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0"/>
      <w:ind w:left="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0"/>
      <w:ind w:left="940" w:hanging="360"/>
    </w:pPr>
  </w:style>
  <w:style w:type="paragraph" w:customStyle="1" w:styleId="TableParagraph">
    <w:name w:val="Table Paragraph"/>
    <w:basedOn w:val="Normal"/>
    <w:uiPriority w:val="1"/>
    <w:qFormat/>
    <w:pPr>
      <w:ind w:left="4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0"/>
      <w:ind w:left="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0"/>
      <w:ind w:left="940" w:hanging="360"/>
    </w:pPr>
  </w:style>
  <w:style w:type="paragraph" w:customStyle="1" w:styleId="TableParagraph">
    <w:name w:val="Table Paragraph"/>
    <w:basedOn w:val="Normal"/>
    <w:uiPriority w:val="1"/>
    <w:qFormat/>
    <w:pPr>
      <w:ind w:left="4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ORDER FOR PSYCHOLOGICAL EVALUATION</vt:lpstr>
    </vt:vector>
  </TitlesOfParts>
  <Company>Virginia IT Infrastructure Partnership</Company>
  <LinksUpToDate>false</LinksUpToDate>
  <CharactersWithSpaces>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FOR PSYCHOLOGICAL EVALUATION</dc:title>
  <dc:creator>Bernadine H. Rowlett</dc:creator>
  <cp:lastModifiedBy>mhw94454</cp:lastModifiedBy>
  <cp:revision>2</cp:revision>
  <dcterms:created xsi:type="dcterms:W3CDTF">2018-08-08T19:28:00Z</dcterms:created>
  <dcterms:modified xsi:type="dcterms:W3CDTF">2018-08-08T19:28:00Z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2018-06-29T00:00:00Z</vt:filetime>
  </property>
  <property fmtid="{D5CDD505-2E9C-101B-9397-08002B2CF9AE}" pid="3" name="Creator">
    <vt:lpwstr>Microsoft® Word 2016</vt:lpwstr>
  </property>
  <property fmtid="{D5CDD505-2E9C-101B-9397-08002B2CF9AE}" pid="4" name="LastSaved">
    <vt:filetime>2018-08-08T00:00:00Z</vt:filetime>
  </property>
</Properties>
</file>